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78317061" w:rsidR="00BA55ED" w:rsidRDefault="00BA55ED" w:rsidP="00BA55ED">
                            <w:r>
                              <w:t xml:space="preserve">Agenda Item No. </w:t>
                            </w:r>
                            <w:r w:rsidR="007E08A9">
                              <w:t>9.</w:t>
                            </w:r>
                            <w:r w:rsidR="00482CD7">
                              <w:t>2</w:t>
                            </w:r>
                            <w:r w:rsidR="007E08A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78317061" w:rsidR="00BA55ED" w:rsidRDefault="00BA55ED" w:rsidP="00BA55ED">
                      <w:r>
                        <w:t xml:space="preserve">Agenda Item No. </w:t>
                      </w:r>
                      <w:r w:rsidR="007E08A9">
                        <w:t>9.</w:t>
                      </w:r>
                      <w:r w:rsidR="00482CD7">
                        <w:t>2</w:t>
                      </w:r>
                      <w:r w:rsidR="007E08A9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74660D9B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10/11/2023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74660D9B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10/11/2023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Served</w:t>
            </w:r>
          </w:p>
          <w:p w14:paraId="2CDE1477" w14:textId="3193B51E" w:rsidR="007E08A9" w:rsidRPr="007E08A9" w:rsidRDefault="007E08A9" w:rsidP="007E08A9">
            <w:pPr>
              <w:ind w:left="360"/>
              <w:jc w:val="both"/>
              <w:rPr>
                <w:rFonts w:ascii="Arial" w:hAnsi="Arial" w:cs="Arial"/>
              </w:rPr>
            </w:pPr>
          </w:p>
          <w:p w14:paraId="21DFB498" w14:textId="77777777" w:rsidR="00482CD7" w:rsidRPr="00482CD7" w:rsidRDefault="00482CD7" w:rsidP="00482CD7">
            <w:pPr>
              <w:ind w:left="360"/>
              <w:jc w:val="both"/>
              <w:rPr>
                <w:rFonts w:ascii="Arial" w:hAnsi="Arial" w:cs="Arial"/>
              </w:rPr>
            </w:pPr>
            <w:r w:rsidRPr="00482CD7">
              <w:rPr>
                <w:rFonts w:ascii="Arial" w:hAnsi="Arial" w:cs="Arial"/>
              </w:rPr>
              <w:t>ORDINANCE NO. 2023-009</w:t>
            </w:r>
          </w:p>
          <w:p w14:paraId="1E1FEA29" w14:textId="77777777" w:rsidR="00482CD7" w:rsidRPr="00482CD7" w:rsidRDefault="00482CD7" w:rsidP="00482CD7">
            <w:pPr>
              <w:ind w:left="360"/>
              <w:jc w:val="both"/>
              <w:rPr>
                <w:rFonts w:ascii="Arial" w:hAnsi="Arial" w:cs="Arial"/>
              </w:rPr>
            </w:pPr>
          </w:p>
          <w:p w14:paraId="0F3C0D34" w14:textId="4966F08C" w:rsidR="00197147" w:rsidRPr="0045020E" w:rsidRDefault="00482CD7" w:rsidP="00482CD7">
            <w:pPr>
              <w:ind w:left="360"/>
              <w:jc w:val="both"/>
              <w:rPr>
                <w:sz w:val="18"/>
                <w:szCs w:val="18"/>
              </w:rPr>
            </w:pPr>
            <w:r w:rsidRPr="00482CD7">
              <w:rPr>
                <w:rFonts w:ascii="Arial" w:hAnsi="Arial" w:cs="Arial"/>
              </w:rPr>
              <w:t>AN ORDINANCE OF THE TOWN OF PEMBROKE PARK, FLORIDA, AMENDING CHAPTER 2 OF THE TOWN’S CODE OF ORDINANCES, ENTITLED “ADMINISTRATION;” SPECIFICALLY CREATING ARTICLE XII; TO BE ENTITLED “ECONOMIC DEVELOPMENT ADVISORY BOARD;” PROVIDING FOR THE ESTABLISHMENT OF AN ECONOMIC DEVELOPMENT ADVISORY BOARD; PROVIDING FOR COMPOSITION; PROVIDING FOR MEETINGS; PROVIDING FOR DEFINITIONS; PROVIDING FOR CODIFICATION; PROVIDING FOR CONFLICTS; PROVIDING FOR SEVERABILITY; AND PROVIDING FOR AN EFFECTIVE DATE.</w:t>
            </w:r>
          </w:p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77601D8C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regulation</w:t>
      </w:r>
      <w:r w:rsidR="00AD04B1">
        <w:rPr>
          <w:sz w:val="18"/>
          <w:szCs w:val="18"/>
        </w:rPr>
        <w:t>;</w:t>
      </w:r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related to the issuance or refinancing of debt;</w:t>
      </w:r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the adoption of budgets or budget amendments, including revenue sources necessary to fund the budget;</w:t>
      </w:r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/agreement</w:t>
      </w:r>
      <w:r>
        <w:rPr>
          <w:sz w:val="18"/>
          <w:szCs w:val="18"/>
        </w:rPr>
        <w:t>;</w:t>
      </w:r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Emergency ordinances;</w:t>
      </w:r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procurement;</w:t>
      </w:r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(Fla. Building Code);</w:t>
      </w:r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>, F.S.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405EE7"/>
    <w:rsid w:val="0045020E"/>
    <w:rsid w:val="00482CD7"/>
    <w:rsid w:val="00580984"/>
    <w:rsid w:val="006506B0"/>
    <w:rsid w:val="00691DA4"/>
    <w:rsid w:val="006F2C25"/>
    <w:rsid w:val="006F6784"/>
    <w:rsid w:val="00722B17"/>
    <w:rsid w:val="007E08A9"/>
    <w:rsid w:val="007E0E72"/>
    <w:rsid w:val="0081122C"/>
    <w:rsid w:val="00824CC2"/>
    <w:rsid w:val="009A12EC"/>
    <w:rsid w:val="00A410F7"/>
    <w:rsid w:val="00AB52A9"/>
    <w:rsid w:val="00AD04B1"/>
    <w:rsid w:val="00BA55ED"/>
    <w:rsid w:val="00BA5EEA"/>
    <w:rsid w:val="00C10D60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2</cp:revision>
  <cp:lastPrinted>2023-08-11T20:41:00Z</cp:lastPrinted>
  <dcterms:created xsi:type="dcterms:W3CDTF">2023-10-04T20:56:00Z</dcterms:created>
  <dcterms:modified xsi:type="dcterms:W3CDTF">2023-10-04T20:56:00Z</dcterms:modified>
</cp:coreProperties>
</file>